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5D0A" w14:textId="58586B80" w:rsidR="006A1CCF" w:rsidRPr="00102C1A" w:rsidRDefault="006A1CCF" w:rsidP="005144E0">
      <w:pPr>
        <w:spacing w:line="360" w:lineRule="auto"/>
        <w:jc w:val="both"/>
        <w:rPr>
          <w:rFonts w:ascii="Calibri" w:hAnsi="Calibri" w:cs="Calibri"/>
          <w:b/>
          <w:bCs/>
        </w:rPr>
      </w:pPr>
      <w:r w:rsidRPr="00102C1A">
        <w:rPr>
          <w:rFonts w:ascii="Calibri" w:hAnsi="Calibri" w:cs="Calibri"/>
          <w:b/>
          <w:bCs/>
        </w:rPr>
        <w:t xml:space="preserve">Pseudocode: Quantitative </w:t>
      </w:r>
      <w:r w:rsidR="00D53914" w:rsidRPr="00102C1A">
        <w:rPr>
          <w:rFonts w:ascii="Calibri" w:hAnsi="Calibri" w:cs="Calibri"/>
          <w:b/>
          <w:bCs/>
        </w:rPr>
        <w:t>a</w:t>
      </w:r>
      <w:r w:rsidRPr="00102C1A">
        <w:rPr>
          <w:rFonts w:ascii="Calibri" w:hAnsi="Calibri" w:cs="Calibri"/>
          <w:b/>
          <w:bCs/>
        </w:rPr>
        <w:t xml:space="preserve">nalysis of RGC </w:t>
      </w:r>
      <w:r w:rsidR="00D53914" w:rsidRPr="00102C1A">
        <w:rPr>
          <w:rFonts w:ascii="Calibri" w:hAnsi="Calibri" w:cs="Calibri"/>
          <w:b/>
          <w:bCs/>
        </w:rPr>
        <w:t>s</w:t>
      </w:r>
      <w:r w:rsidRPr="00102C1A">
        <w:rPr>
          <w:rFonts w:ascii="Calibri" w:hAnsi="Calibri" w:cs="Calibri"/>
          <w:b/>
          <w:bCs/>
        </w:rPr>
        <w:t xml:space="preserve">pike </w:t>
      </w:r>
      <w:r w:rsidR="00D53914" w:rsidRPr="00102C1A">
        <w:rPr>
          <w:rFonts w:ascii="Calibri" w:hAnsi="Calibri" w:cs="Calibri"/>
          <w:b/>
          <w:bCs/>
        </w:rPr>
        <w:t>t</w:t>
      </w:r>
      <w:r w:rsidRPr="00102C1A">
        <w:rPr>
          <w:rFonts w:ascii="Calibri" w:hAnsi="Calibri" w:cs="Calibri"/>
          <w:b/>
          <w:bCs/>
        </w:rPr>
        <w:t>rains (MAD and UCR)</w:t>
      </w:r>
    </w:p>
    <w:p w14:paraId="1DEF0C9C" w14:textId="4D0D6F4D" w:rsidR="006A1CCF" w:rsidRPr="00102C1A" w:rsidRDefault="006A1CCF" w:rsidP="005144E0">
      <w:pPr>
        <w:spacing w:line="360" w:lineRule="auto"/>
        <w:jc w:val="both"/>
        <w:rPr>
          <w:rFonts w:ascii="Calibri" w:hAnsi="Calibri" w:cs="Calibri"/>
        </w:rPr>
      </w:pPr>
      <w:r w:rsidRPr="00102C1A">
        <w:rPr>
          <w:rFonts w:ascii="Calibri" w:hAnsi="Calibri" w:cs="Calibri"/>
        </w:rPr>
        <w:t>Overview:</w:t>
      </w:r>
      <w:r w:rsidR="00A24D51" w:rsidRPr="00102C1A">
        <w:rPr>
          <w:rFonts w:ascii="Calibri" w:hAnsi="Calibri" w:cs="Calibri"/>
        </w:rPr>
        <w:t xml:space="preserve"> </w:t>
      </w:r>
      <w:r w:rsidR="00F313A2" w:rsidRPr="00102C1A">
        <w:rPr>
          <w:rFonts w:ascii="Calibri" w:hAnsi="Calibri" w:cs="Calibri"/>
        </w:rPr>
        <w:t xml:space="preserve">This pseudocode reflects the implemented analysis used to generate the reported MAD and UCR values, and is provided to remove ambiguity in definitions, units, and event-counting rules. </w:t>
      </w:r>
      <w:r w:rsidR="00363872" w:rsidRPr="00102C1A">
        <w:rPr>
          <w:rFonts w:ascii="Calibri" w:hAnsi="Calibri" w:cs="Calibri"/>
        </w:rPr>
        <w:t xml:space="preserve">It </w:t>
      </w:r>
      <w:r w:rsidRPr="00102C1A">
        <w:rPr>
          <w:rFonts w:ascii="Calibri" w:hAnsi="Calibri" w:cs="Calibri"/>
        </w:rPr>
        <w:t>outlines the workflow for analysing peristimulus time histogram (PSTH) data from simulated RGC spike trains. The goal is to compute two key metrics:</w:t>
      </w:r>
      <w:r w:rsidR="00B94653" w:rsidRPr="00102C1A">
        <w:rPr>
          <w:rFonts w:ascii="Calibri" w:hAnsi="Calibri" w:cs="Calibri"/>
        </w:rPr>
        <w:t xml:space="preserve"> </w:t>
      </w:r>
      <w:r w:rsidR="00EF72DC" w:rsidRPr="00102C1A">
        <w:rPr>
          <w:rFonts w:ascii="Calibri" w:hAnsi="Calibri" w:cs="Calibri"/>
        </w:rPr>
        <w:t>MAD: Median Absolute Deviation (MAD). Quantifies the typical amplitude of deviations in the detrended response and is robust to outliers.</w:t>
      </w:r>
      <w:r w:rsidR="00B94653" w:rsidRPr="00102C1A">
        <w:rPr>
          <w:rFonts w:ascii="Calibri" w:hAnsi="Calibri" w:cs="Calibri"/>
        </w:rPr>
        <w:t xml:space="preserve"> </w:t>
      </w:r>
      <w:r w:rsidR="00716042" w:rsidRPr="00102C1A">
        <w:rPr>
          <w:rFonts w:ascii="Calibri" w:hAnsi="Calibri" w:cs="Calibri"/>
        </w:rPr>
        <w:t xml:space="preserve">UCR: Up-Crossing Rate (UCR). Measures the frequency of burst-like excursions above a defined threshold, using event-shaping rules. </w:t>
      </w:r>
      <w:r w:rsidRPr="00102C1A">
        <w:rPr>
          <w:rFonts w:ascii="Calibri" w:hAnsi="Calibri" w:cs="Calibri"/>
        </w:rPr>
        <w:t>The process is modular and can be adapted to different data structures or analysis environments.</w:t>
      </w:r>
    </w:p>
    <w:p w14:paraId="2D4665C8" w14:textId="19AA5619" w:rsidR="006A1CCF" w:rsidRPr="00102C1A" w:rsidRDefault="006A1CCF" w:rsidP="005144E0">
      <w:pPr>
        <w:spacing w:line="360" w:lineRule="auto"/>
        <w:jc w:val="both"/>
        <w:rPr>
          <w:rFonts w:ascii="Calibri" w:hAnsi="Calibri" w:cs="Calibri"/>
        </w:rPr>
      </w:pPr>
      <w:r w:rsidRPr="00102C1A">
        <w:rPr>
          <w:rFonts w:ascii="Calibri" w:hAnsi="Calibri" w:cs="Calibri"/>
        </w:rPr>
        <w:t>Step 1: Data Preparation</w:t>
      </w:r>
      <w:r w:rsidR="00B94653" w:rsidRPr="00102C1A">
        <w:rPr>
          <w:rFonts w:ascii="Calibri" w:hAnsi="Calibri" w:cs="Calibri"/>
        </w:rPr>
        <w:t xml:space="preserve">: </w:t>
      </w:r>
      <w:r w:rsidR="000A6A68" w:rsidRPr="00102C1A">
        <w:rPr>
          <w:rFonts w:ascii="Calibri" w:hAnsi="Calibri" w:cs="Calibri"/>
        </w:rPr>
        <w:t>For each simulation condition (lens design, model eye, scene), collect spike times per trial and compute a PSTH time series using 1 ms bins. Convert spike counts to spike rate in spikes/s (Hz) by dividing by 0.001 s per bin. Organise data by condition, ensuring consistent bin width and time alignment.</w:t>
      </w:r>
    </w:p>
    <w:p w14:paraId="32E2FBC5" w14:textId="365DB15D" w:rsidR="006A1CCF" w:rsidRPr="00102C1A" w:rsidRDefault="006A1CCF" w:rsidP="00DD7D96">
      <w:pPr>
        <w:spacing w:line="360" w:lineRule="auto"/>
        <w:jc w:val="both"/>
        <w:rPr>
          <w:rFonts w:ascii="Calibri" w:hAnsi="Calibri" w:cs="Calibri"/>
        </w:rPr>
      </w:pPr>
      <w:r w:rsidRPr="00102C1A">
        <w:rPr>
          <w:rFonts w:ascii="Calibri" w:hAnsi="Calibri" w:cs="Calibri"/>
        </w:rPr>
        <w:t xml:space="preserve">Step 2: </w:t>
      </w:r>
      <w:r w:rsidR="007A3CE6" w:rsidRPr="00102C1A">
        <w:rPr>
          <w:rFonts w:ascii="Calibri" w:hAnsi="Calibri" w:cs="Calibri"/>
        </w:rPr>
        <w:t>Define analysis window and baseline trend (for MAD and UCR). For each PSTH trace: Use a defined analysis window (100 to 900 ms post onset). To isolate temporal modulation from slow drift, estimate a baseline trend within this window, then compute residuals.</w:t>
      </w:r>
      <w:r w:rsidR="00DD7D96" w:rsidRPr="00102C1A">
        <w:rPr>
          <w:rFonts w:ascii="Calibri" w:hAnsi="Calibri" w:cs="Calibri"/>
        </w:rPr>
        <w:t xml:space="preserve"> Baseline trend estimation (implementation-aligned): Fit a slow trend f(t) within the analysis window (exponential-to-asymptote is preferred; use a polynomial fallback if the exponential fit is unstable). Compute residual r(t) = x(t) − f(t), where x(t) is the mean PSTH spike-rate series (Hz). Remove any constant offset: r0(t) = r(t) − mean(r(t)).</w:t>
      </w:r>
    </w:p>
    <w:p w14:paraId="6166C66B" w14:textId="538143A1" w:rsidR="006A1CCF" w:rsidRPr="00102C1A" w:rsidRDefault="006A1CCF" w:rsidP="00CC6EE8">
      <w:pPr>
        <w:spacing w:line="360" w:lineRule="auto"/>
        <w:jc w:val="both"/>
        <w:rPr>
          <w:rFonts w:ascii="Calibri" w:hAnsi="Calibri" w:cs="Calibri"/>
        </w:rPr>
      </w:pPr>
      <w:r w:rsidRPr="00102C1A">
        <w:rPr>
          <w:rFonts w:ascii="Calibri" w:hAnsi="Calibri" w:cs="Calibri"/>
        </w:rPr>
        <w:t xml:space="preserve">Step 3: </w:t>
      </w:r>
      <w:r w:rsidR="00CC6EE8" w:rsidRPr="00102C1A">
        <w:rPr>
          <w:rFonts w:ascii="Calibri" w:hAnsi="Calibri" w:cs="Calibri"/>
        </w:rPr>
        <w:t>Calculate MAD (Median Absolute Deviation). For each PSTH trace residual within the analysis window: Compute m = median(r0(t)). Compute MAD = median(|r0(t) − m|). Record MAD (units: Hz). If reporting in kHz for compactness, apply an explicit scaling: MAD_kHz = MAD_Hz /</w:t>
      </w:r>
      <w:r w:rsidR="00216B50" w:rsidRPr="00102C1A">
        <w:rPr>
          <w:rFonts w:ascii="Calibri" w:hAnsi="Calibri" w:cs="Calibri"/>
        </w:rPr>
        <w:t xml:space="preserve"> </w:t>
      </w:r>
      <w:r w:rsidR="00CC6EE8" w:rsidRPr="00102C1A">
        <w:rPr>
          <w:rFonts w:ascii="Calibri" w:hAnsi="Calibri" w:cs="Calibri"/>
        </w:rPr>
        <w:t>1000</w:t>
      </w:r>
      <w:r w:rsidRPr="00102C1A">
        <w:rPr>
          <w:rFonts w:ascii="Calibri" w:hAnsi="Calibri" w:cs="Calibri"/>
        </w:rPr>
        <w:t>.</w:t>
      </w:r>
      <w:r w:rsidR="002A06CD" w:rsidRPr="00102C1A">
        <w:rPr>
          <w:rFonts w:ascii="Calibri" w:hAnsi="Calibri" w:cs="Calibri"/>
        </w:rPr>
        <w:t xml:space="preserve"> </w:t>
      </w:r>
    </w:p>
    <w:p w14:paraId="28508FFD" w14:textId="77777777" w:rsidR="00BC79FB" w:rsidRDefault="00B62095" w:rsidP="00B62095">
      <w:pPr>
        <w:spacing w:line="360" w:lineRule="auto"/>
        <w:jc w:val="both"/>
        <w:rPr>
          <w:rFonts w:ascii="Calibri" w:hAnsi="Calibri" w:cs="Calibri"/>
        </w:rPr>
      </w:pPr>
      <w:r w:rsidRPr="00102C1A">
        <w:rPr>
          <w:rFonts w:ascii="Calibri" w:hAnsi="Calibri" w:cs="Calibri"/>
        </w:rPr>
        <w:t xml:space="preserve">Step 4: Determine UCR (Up-Crossing Rate). For each residual series r0(t): Define an up-threshold using MAD: T_up = k × MAD, where k </w:t>
      </w:r>
      <w:r w:rsidR="00995DA0" w:rsidRPr="00102C1A">
        <w:rPr>
          <w:rFonts w:ascii="Calibri" w:hAnsi="Calibri" w:cs="Calibri"/>
        </w:rPr>
        <w:t xml:space="preserve">= 0.60 </w:t>
      </w:r>
      <w:r w:rsidRPr="00102C1A">
        <w:rPr>
          <w:rFonts w:ascii="Calibri" w:hAnsi="Calibri" w:cs="Calibri"/>
        </w:rPr>
        <w:t xml:space="preserve">is a fixed multiplier. For stable event segmentation, use hysteresis: T_down = </w:t>
      </w:r>
      <w:r w:rsidR="00EA339E" w:rsidRPr="00102C1A">
        <w:rPr>
          <w:rFonts w:ascii="Calibri" w:hAnsi="Calibri" w:cs="Calibri"/>
        </w:rPr>
        <w:t>max (</w:t>
      </w:r>
      <w:r w:rsidRPr="00102C1A">
        <w:rPr>
          <w:rFonts w:ascii="Calibri" w:hAnsi="Calibri" w:cs="Calibri"/>
        </w:rPr>
        <w:t xml:space="preserve">0, k − δ) × MAD, where δ </w:t>
      </w:r>
      <w:r w:rsidR="00DF620A" w:rsidRPr="00102C1A">
        <w:rPr>
          <w:rFonts w:ascii="Calibri" w:hAnsi="Calibri" w:cs="Calibri"/>
        </w:rPr>
        <w:t xml:space="preserve">= 0.10 </w:t>
      </w:r>
      <w:r w:rsidRPr="00102C1A">
        <w:rPr>
          <w:rFonts w:ascii="Calibri" w:hAnsi="Calibri" w:cs="Calibri"/>
        </w:rPr>
        <w:t xml:space="preserve">is a small constant. Event detection procedure: Optionally smooth r0(t) with a short window (10 ms) for event detection only. Scan through the series and identify candidate events where the signal crosses from below T_up to above T_up. </w:t>
      </w:r>
    </w:p>
    <w:p w14:paraId="373C2945" w14:textId="6DD1E524" w:rsidR="00450413" w:rsidRPr="00102C1A" w:rsidRDefault="00B62095" w:rsidP="00B62095">
      <w:pPr>
        <w:spacing w:line="360" w:lineRule="auto"/>
        <w:jc w:val="both"/>
        <w:rPr>
          <w:rFonts w:ascii="Calibri" w:hAnsi="Calibri" w:cs="Calibri"/>
        </w:rPr>
      </w:pPr>
      <w:r w:rsidRPr="00102C1A">
        <w:rPr>
          <w:rFonts w:ascii="Calibri" w:hAnsi="Calibri" w:cs="Calibri"/>
        </w:rPr>
        <w:lastRenderedPageBreak/>
        <w:t>Apply event-shaping rules to avoid overcounting: Minimum dwell above threshold (10 ms); Refractory period between events (1</w:t>
      </w:r>
      <w:r w:rsidR="0060027A" w:rsidRPr="00102C1A">
        <w:rPr>
          <w:rFonts w:ascii="Calibri" w:hAnsi="Calibri" w:cs="Calibri"/>
        </w:rPr>
        <w:t>2</w:t>
      </w:r>
      <w:r w:rsidRPr="00102C1A">
        <w:rPr>
          <w:rFonts w:ascii="Calibri" w:hAnsi="Calibri" w:cs="Calibri"/>
        </w:rPr>
        <w:t xml:space="preserve"> ms); and Minimum event area above threshold (3.0 × MAD·ms)</w:t>
      </w:r>
      <w:r w:rsidR="00880D2B" w:rsidRPr="00102C1A">
        <w:rPr>
          <w:rFonts w:ascii="Calibri" w:hAnsi="Calibri" w:cs="Calibri"/>
        </w:rPr>
        <w:t xml:space="preserve">. </w:t>
      </w:r>
      <w:r w:rsidRPr="00102C1A">
        <w:rPr>
          <w:rFonts w:ascii="Calibri" w:hAnsi="Calibri" w:cs="Calibri"/>
        </w:rPr>
        <w:t>Count accepted events within the analysis window, then convert to a rate:</w:t>
      </w:r>
      <w:r w:rsidR="001706CB" w:rsidRPr="00102C1A">
        <w:rPr>
          <w:rFonts w:ascii="Calibri" w:hAnsi="Calibri" w:cs="Calibri"/>
        </w:rPr>
        <w:t xml:space="preserve"> </w:t>
      </w:r>
      <w:r w:rsidRPr="00102C1A">
        <w:rPr>
          <w:rFonts w:ascii="Calibri" w:hAnsi="Calibri" w:cs="Calibri"/>
        </w:rPr>
        <w:t>UCR = (number of accepted events) / (window duration in seconds).</w:t>
      </w:r>
    </w:p>
    <w:p w14:paraId="564C7C7A" w14:textId="309DA714" w:rsidR="008F6D3A" w:rsidRPr="00102C1A" w:rsidRDefault="00EE0DB7" w:rsidP="005144E0">
      <w:pPr>
        <w:spacing w:line="360" w:lineRule="auto"/>
        <w:jc w:val="both"/>
        <w:rPr>
          <w:rFonts w:ascii="Arial" w:hAnsi="Arial" w:cs="Arial"/>
        </w:rPr>
      </w:pPr>
      <w:r w:rsidRPr="00102C1A">
        <w:rPr>
          <w:rFonts w:ascii="Calibri" w:hAnsi="Calibri" w:cs="Calibri"/>
        </w:rPr>
        <w:t>Step 5: Aggregate and compare metrics. Repeat the above steps for all conditions (lens designs, pupil sizes, residual-error states). Summarise results in tables and plots for comparative analysis (for example, heatmaps across pupil and residual-error states).</w:t>
      </w:r>
      <w:r w:rsidR="00E7782D" w:rsidRPr="00102C1A">
        <w:rPr>
          <w:rFonts w:ascii="Calibri" w:hAnsi="Calibri" w:cs="Calibri"/>
        </w:rPr>
        <w:t xml:space="preserve"> </w:t>
      </w:r>
      <w:r w:rsidR="007A4929" w:rsidRPr="00102C1A">
        <w:rPr>
          <w:rFonts w:ascii="Calibri" w:hAnsi="Calibri" w:cs="Calibri"/>
        </w:rPr>
        <w:t>This pseudocode is intended for transparency and reproducibility; actual implementation details (e.g., file I/O, plotting) are left to the user.</w:t>
      </w:r>
    </w:p>
    <w:sectPr w:rsidR="008F6D3A" w:rsidRPr="00102C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3MzQytzQ3MLe0sLBU0lEKTi0uzszPAykwrAUA+ga6MywAAAA="/>
  </w:docVars>
  <w:rsids>
    <w:rsidRoot w:val="00020302"/>
    <w:rsid w:val="00020041"/>
    <w:rsid w:val="00020302"/>
    <w:rsid w:val="00021ACC"/>
    <w:rsid w:val="00072540"/>
    <w:rsid w:val="000A6A68"/>
    <w:rsid w:val="000C2FAE"/>
    <w:rsid w:val="000E2CA1"/>
    <w:rsid w:val="00102C1A"/>
    <w:rsid w:val="00105E38"/>
    <w:rsid w:val="00106394"/>
    <w:rsid w:val="0012153D"/>
    <w:rsid w:val="001706CB"/>
    <w:rsid w:val="001C77E2"/>
    <w:rsid w:val="00216B50"/>
    <w:rsid w:val="002A06CD"/>
    <w:rsid w:val="00363872"/>
    <w:rsid w:val="0037284E"/>
    <w:rsid w:val="003F3B6C"/>
    <w:rsid w:val="00450413"/>
    <w:rsid w:val="0046096D"/>
    <w:rsid w:val="004645CF"/>
    <w:rsid w:val="00487253"/>
    <w:rsid w:val="004A04EA"/>
    <w:rsid w:val="004A56CB"/>
    <w:rsid w:val="004C769A"/>
    <w:rsid w:val="004D05F9"/>
    <w:rsid w:val="005144E0"/>
    <w:rsid w:val="00524F41"/>
    <w:rsid w:val="00541EEB"/>
    <w:rsid w:val="00590091"/>
    <w:rsid w:val="005B3B6B"/>
    <w:rsid w:val="005B5239"/>
    <w:rsid w:val="0060027A"/>
    <w:rsid w:val="006867C3"/>
    <w:rsid w:val="006A1CCF"/>
    <w:rsid w:val="006F58DD"/>
    <w:rsid w:val="00716042"/>
    <w:rsid w:val="0079303B"/>
    <w:rsid w:val="007941BA"/>
    <w:rsid w:val="007A3CE6"/>
    <w:rsid w:val="007A4929"/>
    <w:rsid w:val="007C206D"/>
    <w:rsid w:val="007E726B"/>
    <w:rsid w:val="007F26A8"/>
    <w:rsid w:val="008546FB"/>
    <w:rsid w:val="0086044C"/>
    <w:rsid w:val="0086130B"/>
    <w:rsid w:val="00866C2E"/>
    <w:rsid w:val="00880D2B"/>
    <w:rsid w:val="008D71DE"/>
    <w:rsid w:val="008F6D3A"/>
    <w:rsid w:val="00912F9D"/>
    <w:rsid w:val="00953DB3"/>
    <w:rsid w:val="00971E79"/>
    <w:rsid w:val="00995DA0"/>
    <w:rsid w:val="00A24D51"/>
    <w:rsid w:val="00A74017"/>
    <w:rsid w:val="00AA7EEB"/>
    <w:rsid w:val="00AC29B2"/>
    <w:rsid w:val="00AF644A"/>
    <w:rsid w:val="00AF69B3"/>
    <w:rsid w:val="00B62095"/>
    <w:rsid w:val="00B650F4"/>
    <w:rsid w:val="00B72091"/>
    <w:rsid w:val="00B93C1A"/>
    <w:rsid w:val="00B94653"/>
    <w:rsid w:val="00BC79FB"/>
    <w:rsid w:val="00BE0755"/>
    <w:rsid w:val="00C34761"/>
    <w:rsid w:val="00C77D12"/>
    <w:rsid w:val="00C8406B"/>
    <w:rsid w:val="00C86C28"/>
    <w:rsid w:val="00C907F3"/>
    <w:rsid w:val="00CC6EE8"/>
    <w:rsid w:val="00D13EE9"/>
    <w:rsid w:val="00D53914"/>
    <w:rsid w:val="00D56EB1"/>
    <w:rsid w:val="00DA108D"/>
    <w:rsid w:val="00DC2CD7"/>
    <w:rsid w:val="00DD7D96"/>
    <w:rsid w:val="00DF620A"/>
    <w:rsid w:val="00E53069"/>
    <w:rsid w:val="00E57140"/>
    <w:rsid w:val="00E7782D"/>
    <w:rsid w:val="00EA03DF"/>
    <w:rsid w:val="00EA339E"/>
    <w:rsid w:val="00EC1033"/>
    <w:rsid w:val="00ED0B95"/>
    <w:rsid w:val="00EE0DB7"/>
    <w:rsid w:val="00EF6A27"/>
    <w:rsid w:val="00EF7290"/>
    <w:rsid w:val="00EF72DC"/>
    <w:rsid w:val="00F00BD9"/>
    <w:rsid w:val="00F063A1"/>
    <w:rsid w:val="00F24985"/>
    <w:rsid w:val="00F313A2"/>
    <w:rsid w:val="00F3500F"/>
    <w:rsid w:val="00F93D22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935D7"/>
  <w15:chartTrackingRefBased/>
  <w15:docId w15:val="{6D1E729A-106C-4565-9CFD-B481F751D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03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13DCA191A234A997AE7AD8FA4677D" ma:contentTypeVersion="16" ma:contentTypeDescription="Create a new document." ma:contentTypeScope="" ma:versionID="ab1ee11f5ab2d2373faa8e42f1666c0f">
  <xsd:schema xmlns:xsd="http://www.w3.org/2001/XMLSchema" xmlns:xs="http://www.w3.org/2001/XMLSchema" xmlns:p="http://schemas.microsoft.com/office/2006/metadata/properties" xmlns:ns2="38f438e1-c36e-442c-bb24-52c81ef9e772" xmlns:ns3="19d05d27-a281-41f9-9d00-30b72318a3b6" targetNamespace="http://schemas.microsoft.com/office/2006/metadata/properties" ma:root="true" ma:fieldsID="e8e553f615a94ad5aec81aedb855dc6c" ns2:_="" ns3:_="">
    <xsd:import namespace="38f438e1-c36e-442c-bb24-52c81ef9e772"/>
    <xsd:import namespace="19d05d27-a281-41f9-9d00-30b72318a3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438e1-c36e-442c-bb24-52c81ef9e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aeda6cc-be04-486f-a3de-60892a864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05d27-a281-41f9-9d00-30b72318a3b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1a36214-4196-43f3-a90d-ef60045c8323}" ma:internalName="TaxCatchAll" ma:showField="CatchAllData" ma:web="19d05d27-a281-41f9-9d00-30b72318a3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438e1-c36e-442c-bb24-52c81ef9e772">
      <Terms xmlns="http://schemas.microsoft.com/office/infopath/2007/PartnerControls"/>
    </lcf76f155ced4ddcb4097134ff3c332f>
    <TaxCatchAll xmlns="19d05d27-a281-41f9-9d00-30b72318a3b6" xsi:nil="true"/>
  </documentManagement>
</p:properties>
</file>

<file path=customXml/itemProps1.xml><?xml version="1.0" encoding="utf-8"?>
<ds:datastoreItem xmlns:ds="http://schemas.openxmlformats.org/officeDocument/2006/customXml" ds:itemID="{D27A2DA3-08BC-4E6D-9EE7-95B5B7740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438e1-c36e-442c-bb24-52c81ef9e772"/>
    <ds:schemaRef ds:uri="19d05d27-a281-41f9-9d00-30b72318a3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2CF31-476D-49E1-9D7B-83D637EED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597F5A-D28F-4A6E-84B9-D479BF2A4F7B}">
  <ds:schemaRefs>
    <ds:schemaRef ds:uri="http://schemas.microsoft.com/office/2006/metadata/properties"/>
    <ds:schemaRef ds:uri="http://schemas.microsoft.com/office/infopath/2007/PartnerControls"/>
    <ds:schemaRef ds:uri="38f438e1-c36e-442c-bb24-52c81ef9e772"/>
    <ds:schemaRef ds:uri="19d05d27-a281-41f9-9d00-30b72318a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501</Words>
  <Characters>2727</Characters>
  <Application>Microsoft Office Word</Application>
  <DocSecurity>0</DocSecurity>
  <Lines>39</Lines>
  <Paragraphs>8</Paragraphs>
  <ScaleCrop>false</ScaleCrop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C Bakaraju</dc:creator>
  <cp:keywords/>
  <dc:description/>
  <cp:lastModifiedBy>Ravi C Bakaraju</cp:lastModifiedBy>
  <cp:revision>102</cp:revision>
  <dcterms:created xsi:type="dcterms:W3CDTF">2025-11-27T23:54:00Z</dcterms:created>
  <dcterms:modified xsi:type="dcterms:W3CDTF">2026-02-11T06:58:00Z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71ee467e-a374-441d-bbd5-44493301da07</vt:lpwstr>
  </property>
  <property fmtid="{D5CDD505-2E9C-101B-9397-08002B2CF9AE}" pid="3" name="MSIP_Label_21a01b28-197e-414c-b9d1-f901f920e940_Enabled">
    <vt:lpwstr>true</vt:lpwstr>
  </property>
  <property fmtid="{D5CDD505-2E9C-101B-9397-08002B2CF9AE}" pid="4" name="MSIP_Label_21a01b28-197e-414c-b9d1-f901f920e940_SetDate">
    <vt:lpwstr>2025-11-27T23:54:40Z</vt:lpwstr>
  </property>
  <property fmtid="{D5CDD505-2E9C-101B-9397-08002B2CF9AE}" pid="5" name="MSIP_Label_21a01b28-197e-414c-b9d1-f901f920e940_Method">
    <vt:lpwstr>Standard</vt:lpwstr>
  </property>
  <property fmtid="{D5CDD505-2E9C-101B-9397-08002B2CF9AE}" pid="6" name="MSIP_Label_21a01b28-197e-414c-b9d1-f901f920e940_Name">
    <vt:lpwstr>Internal_Use</vt:lpwstr>
  </property>
  <property fmtid="{D5CDD505-2E9C-101B-9397-08002B2CF9AE}" pid="7" name="MSIP_Label_21a01b28-197e-414c-b9d1-f901f920e940_SiteId">
    <vt:lpwstr>04658e0c-71c7-479b-9a28-e3de225f8ddc</vt:lpwstr>
  </property>
  <property fmtid="{D5CDD505-2E9C-101B-9397-08002B2CF9AE}" pid="8" name="MSIP_Label_21a01b28-197e-414c-b9d1-f901f920e940_ActionId">
    <vt:lpwstr>34fe286d-bc21-4a30-b3c2-744914ba3608</vt:lpwstr>
  </property>
  <property fmtid="{D5CDD505-2E9C-101B-9397-08002B2CF9AE}" pid="9" name="MSIP_Label_21a01b28-197e-414c-b9d1-f901f920e940_ContentBits">
    <vt:lpwstr>0</vt:lpwstr>
  </property>
  <property fmtid="{D5CDD505-2E9C-101B-9397-08002B2CF9AE}" pid="10" name="MSIP_Label_21a01b28-197e-414c-b9d1-f901f920e940_Tag">
    <vt:lpwstr>10, 3, 0, 1</vt:lpwstr>
  </property>
  <property fmtid="{D5CDD505-2E9C-101B-9397-08002B2CF9AE}" pid="11" name="ContentTypeId">
    <vt:lpwstr>0x01010099A13DCA191A234A997AE7AD8FA4677D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